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C1875" w14:textId="77777777" w:rsidR="005B3F67" w:rsidRPr="005B3F67" w:rsidRDefault="005B3F67" w:rsidP="005B3F67">
      <w:pPr>
        <w:spacing w:after="0" w:line="240" w:lineRule="auto"/>
        <w:ind w:left="7920"/>
        <w:jc w:val="center"/>
        <w:rPr>
          <w:rFonts w:ascii="Calibri" w:eastAsia="Calibri" w:hAnsi="Calibri" w:cs="Times New Roman"/>
          <w:sz w:val="24"/>
          <w:szCs w:val="24"/>
        </w:rPr>
      </w:pPr>
      <w:r w:rsidRPr="005B3F67">
        <w:rPr>
          <w:rFonts w:ascii="Calibri" w:eastAsia="Calibri" w:hAnsi="Calibri" w:cs="Times New Roman"/>
          <w:b/>
          <w:color w:val="2E74B5"/>
          <w:sz w:val="40"/>
          <w:szCs w:val="40"/>
        </w:rPr>
        <w:t xml:space="preserve">Child Safeguarding Statement </w:t>
      </w:r>
      <w:r w:rsidRPr="005B3F67">
        <w:rPr>
          <w:rFonts w:ascii="Calibri" w:eastAsia="Calibri" w:hAnsi="Calibri" w:cs="Times New Roman"/>
          <w:b/>
          <w:color w:val="2E74B5"/>
          <w:sz w:val="40"/>
          <w:szCs w:val="40"/>
        </w:rPr>
        <w:tab/>
      </w:r>
      <w:r w:rsidRPr="005B3F67">
        <w:rPr>
          <w:rFonts w:ascii="Calibri" w:eastAsia="Calibri" w:hAnsi="Calibri" w:cs="Times New Roman"/>
          <w:b/>
          <w:color w:val="2E74B5"/>
          <w:sz w:val="40"/>
          <w:szCs w:val="40"/>
        </w:rPr>
        <w:tab/>
      </w:r>
      <w:r w:rsidRPr="005B3F67">
        <w:rPr>
          <w:rFonts w:ascii="Calibri" w:eastAsia="Calibri" w:hAnsi="Calibri" w:cs="Times New Roman"/>
          <w:b/>
          <w:color w:val="2E74B5"/>
          <w:sz w:val="40"/>
          <w:szCs w:val="40"/>
        </w:rPr>
        <w:tab/>
      </w:r>
      <w:r w:rsidRPr="005B3F67">
        <w:rPr>
          <w:rFonts w:ascii="Calibri" w:eastAsia="Calibri" w:hAnsi="Calibri" w:cs="Times New Roman"/>
          <w:b/>
          <w:color w:val="2E74B5"/>
          <w:sz w:val="40"/>
          <w:szCs w:val="40"/>
        </w:rPr>
        <w:tab/>
      </w:r>
      <w:r w:rsidRPr="005B3F67">
        <w:rPr>
          <w:rFonts w:ascii="Calibri" w:eastAsia="Calibri" w:hAnsi="Calibri" w:cs="Times New Roman"/>
          <w:b/>
          <w:color w:val="2E74B5"/>
          <w:sz w:val="40"/>
          <w:szCs w:val="40"/>
        </w:rPr>
        <w:tab/>
      </w:r>
      <w:r w:rsidRPr="005B3F67">
        <w:rPr>
          <w:rFonts w:ascii="Calibri" w:eastAsia="Calibri" w:hAnsi="Calibri" w:cs="Times New Roman"/>
          <w:b/>
          <w:color w:val="2E74B5"/>
          <w:sz w:val="40"/>
          <w:szCs w:val="40"/>
        </w:rPr>
        <w:tab/>
      </w:r>
      <w:r w:rsidRPr="005B3F67">
        <w:rPr>
          <w:rFonts w:ascii="Calibri" w:eastAsia="Calibri" w:hAnsi="Calibri" w:cs="Times New Roman"/>
          <w:b/>
          <w:color w:val="2E74B5"/>
          <w:sz w:val="40"/>
          <w:szCs w:val="40"/>
        </w:rPr>
        <w:tab/>
      </w:r>
      <w:r w:rsidRPr="005B3F67">
        <w:rPr>
          <w:rFonts w:ascii="Calibri" w:eastAsia="Calibri" w:hAnsi="Calibri" w:cs="Times New Roman"/>
          <w:noProof/>
          <w:sz w:val="24"/>
          <w:szCs w:val="24"/>
          <w:lang w:eastAsia="en-IE"/>
        </w:rPr>
        <w:drawing>
          <wp:inline distT="0" distB="0" distL="0" distR="0" wp14:anchorId="2E93726A" wp14:editId="699913D6">
            <wp:extent cx="2466754" cy="669851"/>
            <wp:effectExtent l="0" t="0" r="0" b="0"/>
            <wp:docPr id="2" name="Picture 2" descr="O:\Logo and style guide\2017 logo\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and style guide\2017 logo\Mast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2617" cy="671443"/>
                    </a:xfrm>
                    <a:prstGeom prst="rect">
                      <a:avLst/>
                    </a:prstGeom>
                    <a:noFill/>
                    <a:ln>
                      <a:noFill/>
                    </a:ln>
                  </pic:spPr>
                </pic:pic>
              </a:graphicData>
            </a:graphic>
          </wp:inline>
        </w:drawing>
      </w:r>
    </w:p>
    <w:p w14:paraId="4A730763" w14:textId="77777777" w:rsidR="005B3F67" w:rsidRPr="005B3F67" w:rsidRDefault="005B3F67" w:rsidP="005B3F67">
      <w:pPr>
        <w:keepNext/>
        <w:keepLines/>
        <w:spacing w:after="0" w:line="240" w:lineRule="auto"/>
        <w:outlineLvl w:val="0"/>
        <w:rPr>
          <w:rFonts w:ascii="Calibri" w:eastAsia="Times New Roman" w:hAnsi="Calibri" w:cs="Times New Roman"/>
          <w:b/>
          <w:bCs/>
          <w:color w:val="2E74B5"/>
          <w:sz w:val="28"/>
          <w:szCs w:val="28"/>
        </w:rPr>
      </w:pPr>
      <w:r w:rsidRPr="005B3F67">
        <w:rPr>
          <w:rFonts w:ascii="Calibri" w:eastAsia="Times New Roman" w:hAnsi="Calibri" w:cs="Times New Roman"/>
          <w:b/>
          <w:bCs/>
          <w:color w:val="2E74B5"/>
          <w:sz w:val="28"/>
          <w:szCs w:val="28"/>
        </w:rPr>
        <w:t xml:space="preserve">Nature of service </w:t>
      </w:r>
    </w:p>
    <w:p w14:paraId="39EF345C" w14:textId="77777777" w:rsidR="005B3F67" w:rsidRPr="005B3F67" w:rsidRDefault="005B3F67" w:rsidP="005B3F67">
      <w:pPr>
        <w:spacing w:after="0" w:line="240" w:lineRule="auto"/>
        <w:rPr>
          <w:rFonts w:ascii="Calibri" w:eastAsia="Calibri" w:hAnsi="Calibri" w:cs="Times New Roman"/>
          <w:sz w:val="24"/>
          <w:szCs w:val="24"/>
        </w:rPr>
      </w:pPr>
      <w:r w:rsidRPr="005B3F67">
        <w:rPr>
          <w:rFonts w:ascii="Calibri" w:eastAsia="Calibri" w:hAnsi="Calibri" w:cs="Times New Roman"/>
          <w:sz w:val="24"/>
          <w:szCs w:val="24"/>
        </w:rPr>
        <w:t xml:space="preserve">We are an independent statutory organisation established under the Ombudsman for Children Act, 2002, as amended.  Our remit extends to all children and young people under the age of 18 in Ireland.  We engage directly with children and young people in a variety of ways in carrying out our two core functions.  These functions are: </w:t>
      </w:r>
    </w:p>
    <w:p w14:paraId="28B88DA2" w14:textId="77777777" w:rsidR="005B3F67" w:rsidRPr="005B3F67" w:rsidRDefault="005B3F67" w:rsidP="005B3F67">
      <w:pPr>
        <w:numPr>
          <w:ilvl w:val="0"/>
          <w:numId w:val="1"/>
        </w:num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Investigating complaints made by or on behalf of children regarding the actions or inactions of a range of public bodies.</w:t>
      </w:r>
    </w:p>
    <w:p w14:paraId="4B1E3C05" w14:textId="77777777" w:rsidR="005B3F67" w:rsidRPr="005B3F67" w:rsidRDefault="005B3F67" w:rsidP="005B3F67">
      <w:pPr>
        <w:numPr>
          <w:ilvl w:val="0"/>
          <w:numId w:val="1"/>
        </w:num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 xml:space="preserve">Promoting the rights and welfare of children and young people.  </w:t>
      </w:r>
    </w:p>
    <w:p w14:paraId="61F1602F" w14:textId="77777777" w:rsidR="005B3F67" w:rsidRPr="005B3F67" w:rsidRDefault="005B3F67" w:rsidP="005B3F67">
      <w:pPr>
        <w:spacing w:after="0" w:line="240" w:lineRule="auto"/>
        <w:rPr>
          <w:rFonts w:ascii="Calibri" w:eastAsia="Calibri" w:hAnsi="Calibri" w:cs="Times New Roman"/>
          <w:sz w:val="24"/>
          <w:szCs w:val="24"/>
        </w:rPr>
      </w:pPr>
      <w:r w:rsidRPr="005B3F67">
        <w:rPr>
          <w:rFonts w:ascii="Calibri" w:eastAsia="Calibri" w:hAnsi="Calibri" w:cs="Times New Roman"/>
          <w:sz w:val="24"/>
          <w:szCs w:val="24"/>
        </w:rPr>
        <w:t xml:space="preserve">The activities we undertake that may bring child protection and welfare concerns to our attention are: </w:t>
      </w:r>
    </w:p>
    <w:p w14:paraId="07A6247F" w14:textId="77777777" w:rsidR="0058298C" w:rsidRDefault="005B3F67" w:rsidP="005B3F67">
      <w:pPr>
        <w:numPr>
          <w:ilvl w:val="0"/>
          <w:numId w:val="4"/>
        </w:numPr>
        <w:spacing w:after="0" w:line="240" w:lineRule="auto"/>
        <w:contextualSpacing/>
        <w:rPr>
          <w:rFonts w:ascii="Calibri" w:eastAsia="Calibri" w:hAnsi="Calibri" w:cs="Times New Roman"/>
          <w:sz w:val="24"/>
          <w:szCs w:val="24"/>
        </w:rPr>
      </w:pPr>
      <w:r w:rsidRPr="0058298C">
        <w:rPr>
          <w:rFonts w:ascii="Calibri" w:eastAsia="Calibri" w:hAnsi="Calibri" w:cs="Times New Roman"/>
          <w:sz w:val="24"/>
          <w:szCs w:val="24"/>
        </w:rPr>
        <w:t>Meetings with individual children and young people</w:t>
      </w:r>
      <w:r w:rsidR="0058298C" w:rsidRPr="0058298C">
        <w:rPr>
          <w:rFonts w:ascii="Calibri" w:eastAsia="Calibri" w:hAnsi="Calibri" w:cs="Times New Roman"/>
          <w:sz w:val="24"/>
          <w:szCs w:val="24"/>
        </w:rPr>
        <w:t xml:space="preserve">; </w:t>
      </w:r>
    </w:p>
    <w:p w14:paraId="3228A390" w14:textId="77777777" w:rsidR="0058298C" w:rsidRDefault="005B3F67" w:rsidP="005B3F67">
      <w:pPr>
        <w:numPr>
          <w:ilvl w:val="0"/>
          <w:numId w:val="4"/>
        </w:numPr>
        <w:spacing w:after="0" w:line="240" w:lineRule="auto"/>
        <w:contextualSpacing/>
        <w:rPr>
          <w:rFonts w:ascii="Calibri" w:eastAsia="Calibri" w:hAnsi="Calibri" w:cs="Times New Roman"/>
          <w:sz w:val="24"/>
          <w:szCs w:val="24"/>
        </w:rPr>
      </w:pPr>
      <w:r w:rsidRPr="0058298C">
        <w:rPr>
          <w:rFonts w:ascii="Calibri" w:eastAsia="Calibri" w:hAnsi="Calibri" w:cs="Times New Roman"/>
          <w:sz w:val="24"/>
          <w:szCs w:val="24"/>
        </w:rPr>
        <w:t>Group events, such as school visits and consultations, with children and young people</w:t>
      </w:r>
      <w:r w:rsidR="0058298C" w:rsidRPr="0058298C">
        <w:rPr>
          <w:rFonts w:ascii="Calibri" w:eastAsia="Calibri" w:hAnsi="Calibri" w:cs="Times New Roman"/>
          <w:sz w:val="24"/>
          <w:szCs w:val="24"/>
        </w:rPr>
        <w:t xml:space="preserve">; </w:t>
      </w:r>
    </w:p>
    <w:p w14:paraId="10049915" w14:textId="0BD2D456" w:rsidR="005B3F67" w:rsidRPr="0058298C" w:rsidRDefault="005B3F67" w:rsidP="005B3F67">
      <w:pPr>
        <w:numPr>
          <w:ilvl w:val="0"/>
          <w:numId w:val="4"/>
        </w:numPr>
        <w:spacing w:after="0" w:line="240" w:lineRule="auto"/>
        <w:contextualSpacing/>
        <w:rPr>
          <w:rFonts w:ascii="Calibri" w:eastAsia="Calibri" w:hAnsi="Calibri" w:cs="Times New Roman"/>
          <w:sz w:val="24"/>
          <w:szCs w:val="24"/>
        </w:rPr>
      </w:pPr>
      <w:r w:rsidRPr="0058298C">
        <w:rPr>
          <w:rFonts w:ascii="Calibri" w:eastAsia="Calibri" w:hAnsi="Calibri" w:cs="Times New Roman"/>
          <w:sz w:val="24"/>
          <w:szCs w:val="24"/>
        </w:rPr>
        <w:t>Work experience placements with young people</w:t>
      </w:r>
    </w:p>
    <w:p w14:paraId="1B717AEC" w14:textId="77777777" w:rsidR="005B3F67" w:rsidRPr="005B3F67" w:rsidRDefault="005B3F67" w:rsidP="005B3F67">
      <w:pPr>
        <w:numPr>
          <w:ilvl w:val="0"/>
          <w:numId w:val="4"/>
        </w:num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Processing of information concerning children received through our Complaints and Investigations function</w:t>
      </w:r>
    </w:p>
    <w:p w14:paraId="6B855D5D" w14:textId="77777777" w:rsidR="005B3F67" w:rsidRPr="005B3F67" w:rsidRDefault="005B3F67" w:rsidP="005B3F67">
      <w:pPr>
        <w:numPr>
          <w:ilvl w:val="0"/>
          <w:numId w:val="4"/>
        </w:num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Commissioning external third party contractors to organise or host events and undertake research and consultations with children and young people</w:t>
      </w:r>
    </w:p>
    <w:p w14:paraId="0E819221" w14:textId="77777777" w:rsidR="0058298C" w:rsidRDefault="0058298C" w:rsidP="005B3F67">
      <w:pPr>
        <w:keepNext/>
        <w:keepLines/>
        <w:spacing w:after="0" w:line="240" w:lineRule="auto"/>
        <w:outlineLvl w:val="0"/>
        <w:rPr>
          <w:rFonts w:ascii="Calibri" w:eastAsia="Times New Roman" w:hAnsi="Calibri" w:cs="Times New Roman"/>
          <w:b/>
          <w:bCs/>
          <w:color w:val="2E74B5"/>
          <w:sz w:val="28"/>
          <w:szCs w:val="28"/>
        </w:rPr>
      </w:pPr>
    </w:p>
    <w:p w14:paraId="765BAA60" w14:textId="6496F6A9" w:rsidR="005B3F67" w:rsidRPr="005B3F67" w:rsidRDefault="005B3F67" w:rsidP="005B3F67">
      <w:pPr>
        <w:keepNext/>
        <w:keepLines/>
        <w:spacing w:after="0" w:line="240" w:lineRule="auto"/>
        <w:outlineLvl w:val="0"/>
        <w:rPr>
          <w:rFonts w:ascii="Calibri" w:eastAsia="Times New Roman" w:hAnsi="Calibri" w:cs="Times New Roman"/>
          <w:b/>
          <w:bCs/>
          <w:color w:val="2E74B5"/>
          <w:sz w:val="28"/>
          <w:szCs w:val="28"/>
        </w:rPr>
      </w:pPr>
      <w:r w:rsidRPr="005B3F67">
        <w:rPr>
          <w:rFonts w:ascii="Calibri" w:eastAsia="Times New Roman" w:hAnsi="Calibri" w:cs="Times New Roman"/>
          <w:b/>
          <w:bCs/>
          <w:color w:val="2E74B5"/>
          <w:sz w:val="28"/>
          <w:szCs w:val="28"/>
        </w:rPr>
        <w:t>Our safeguarding principles</w:t>
      </w:r>
    </w:p>
    <w:p w14:paraId="35A40CCD" w14:textId="77777777" w:rsidR="005B3F67" w:rsidRPr="005B3F67" w:rsidRDefault="005B3F67" w:rsidP="005B3F67">
      <w:pPr>
        <w:numPr>
          <w:ilvl w:val="0"/>
          <w:numId w:val="2"/>
        </w:num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 xml:space="preserve">We provide a safe environment for the children that engage with us. Our recruitment practices for staff and individuals contracted for services adhere to best practice. Staff and individuals contracted for services are appropriately trained in child protection and are vetted by the National Vetting Bureau.  </w:t>
      </w:r>
    </w:p>
    <w:p w14:paraId="718BEBE9" w14:textId="45092B79" w:rsidR="005B3F67" w:rsidRPr="005B3F67" w:rsidRDefault="005B3F67" w:rsidP="005B3F67">
      <w:pPr>
        <w:numPr>
          <w:ilvl w:val="0"/>
          <w:numId w:val="2"/>
        </w:num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 xml:space="preserve">Our staff members and individuals contracted for services are committed to safeguarding children and aware of their duty to report concerns of harm to children as set out in the Children First Act 2015 and </w:t>
      </w:r>
      <w:r w:rsidRPr="005B3F67">
        <w:rPr>
          <w:rFonts w:ascii="Calibri" w:eastAsia="Calibri" w:hAnsi="Calibri" w:cs="Times New Roman"/>
          <w:i/>
          <w:sz w:val="24"/>
          <w:szCs w:val="24"/>
        </w:rPr>
        <w:t>Children First: National Guidance for the Protection and Welfare of Children</w:t>
      </w:r>
      <w:r w:rsidRPr="005B3F67">
        <w:rPr>
          <w:rFonts w:ascii="Calibri" w:eastAsia="Calibri" w:hAnsi="Calibri" w:cs="Times New Roman"/>
          <w:sz w:val="24"/>
          <w:szCs w:val="24"/>
        </w:rPr>
        <w:t xml:space="preserve"> 2017</w:t>
      </w:r>
      <w:r w:rsidRPr="005B3F67">
        <w:rPr>
          <w:rFonts w:ascii="Calibri" w:eastAsia="Calibri" w:hAnsi="Calibri" w:cs="Times New Roman"/>
          <w:sz w:val="24"/>
          <w:szCs w:val="24"/>
          <w:vertAlign w:val="superscript"/>
        </w:rPr>
        <w:footnoteReference w:id="1"/>
      </w:r>
      <w:r w:rsidRPr="005B3F67">
        <w:rPr>
          <w:rFonts w:ascii="Calibri" w:eastAsia="Calibri" w:hAnsi="Calibri" w:cs="Times New Roman"/>
          <w:sz w:val="24"/>
          <w:szCs w:val="24"/>
        </w:rPr>
        <w:t xml:space="preserve"> and comply with our Child Protection Policy and Procedures.  </w:t>
      </w:r>
    </w:p>
    <w:p w14:paraId="0C6838ED" w14:textId="77777777" w:rsidR="0058298C" w:rsidRDefault="0058298C" w:rsidP="005B3F67">
      <w:pPr>
        <w:keepNext/>
        <w:keepLines/>
        <w:spacing w:after="0" w:line="240" w:lineRule="auto"/>
        <w:outlineLvl w:val="0"/>
        <w:rPr>
          <w:rFonts w:ascii="Calibri" w:eastAsia="Times New Roman" w:hAnsi="Calibri" w:cs="Times New Roman"/>
          <w:b/>
          <w:bCs/>
          <w:color w:val="2E74B5"/>
          <w:sz w:val="28"/>
          <w:szCs w:val="28"/>
        </w:rPr>
      </w:pPr>
    </w:p>
    <w:p w14:paraId="1FE648E0" w14:textId="1BCFC293" w:rsidR="005B3F67" w:rsidRPr="005B3F67" w:rsidRDefault="005B3F67" w:rsidP="005B3F67">
      <w:pPr>
        <w:keepNext/>
        <w:keepLines/>
        <w:spacing w:after="0" w:line="240" w:lineRule="auto"/>
        <w:outlineLvl w:val="0"/>
        <w:rPr>
          <w:rFonts w:ascii="Calibri" w:eastAsia="Times New Roman" w:hAnsi="Calibri" w:cs="Times New Roman"/>
          <w:b/>
          <w:bCs/>
          <w:color w:val="2E74B5"/>
          <w:sz w:val="28"/>
          <w:szCs w:val="28"/>
        </w:rPr>
      </w:pPr>
      <w:r w:rsidRPr="005B3F67">
        <w:rPr>
          <w:rFonts w:ascii="Calibri" w:eastAsia="Times New Roman" w:hAnsi="Calibri" w:cs="Times New Roman"/>
          <w:b/>
          <w:bCs/>
          <w:color w:val="2E74B5"/>
          <w:sz w:val="28"/>
          <w:szCs w:val="28"/>
        </w:rPr>
        <w:t>Risk assessment</w:t>
      </w:r>
    </w:p>
    <w:p w14:paraId="60867D55" w14:textId="5C178741" w:rsidR="005B3F67" w:rsidRDefault="005B3F67" w:rsidP="005B3F67">
      <w:pPr>
        <w:spacing w:after="0" w:line="240" w:lineRule="auto"/>
        <w:rPr>
          <w:rFonts w:ascii="Calibri" w:eastAsia="Calibri" w:hAnsi="Calibri" w:cs="Times New Roman"/>
          <w:sz w:val="24"/>
          <w:szCs w:val="24"/>
        </w:rPr>
      </w:pPr>
      <w:r w:rsidRPr="005B3F67">
        <w:rPr>
          <w:rFonts w:ascii="Calibri" w:eastAsia="Calibri" w:hAnsi="Calibri" w:cs="Times New Roman"/>
          <w:sz w:val="24"/>
          <w:szCs w:val="24"/>
        </w:rPr>
        <w:t xml:space="preserve">We have carried out an assessment of risk of any potential for harm to a child while engaging with us.  We have identified </w:t>
      </w:r>
      <w:r w:rsidRPr="00457D67">
        <w:rPr>
          <w:rFonts w:ascii="Calibri" w:eastAsia="Calibri" w:hAnsi="Calibri" w:cs="Times New Roman"/>
          <w:sz w:val="24"/>
          <w:szCs w:val="24"/>
        </w:rPr>
        <w:t>f</w:t>
      </w:r>
      <w:r w:rsidR="00FE78FD" w:rsidRPr="00457D67">
        <w:rPr>
          <w:rFonts w:ascii="Calibri" w:eastAsia="Calibri" w:hAnsi="Calibri" w:cs="Times New Roman"/>
          <w:sz w:val="24"/>
          <w:szCs w:val="24"/>
        </w:rPr>
        <w:t>ive</w:t>
      </w:r>
      <w:r w:rsidRPr="00457D67">
        <w:rPr>
          <w:rFonts w:ascii="Calibri" w:eastAsia="Calibri" w:hAnsi="Calibri" w:cs="Times New Roman"/>
          <w:sz w:val="24"/>
          <w:szCs w:val="24"/>
        </w:rPr>
        <w:t xml:space="preserve"> </w:t>
      </w:r>
      <w:r w:rsidRPr="005B3F67">
        <w:rPr>
          <w:rFonts w:ascii="Calibri" w:eastAsia="Calibri" w:hAnsi="Calibri" w:cs="Times New Roman"/>
          <w:sz w:val="24"/>
          <w:szCs w:val="24"/>
        </w:rPr>
        <w:t>potential areas of risk.  The procedures for managing these risks are contained in our Child Protection Policy and Procedures, (</w:t>
      </w:r>
      <w:r w:rsidRPr="0058298C">
        <w:rPr>
          <w:rFonts w:ascii="Calibri" w:eastAsia="Calibri" w:hAnsi="Calibri" w:cs="Times New Roman"/>
          <w:sz w:val="24"/>
          <w:szCs w:val="24"/>
        </w:rPr>
        <w:t xml:space="preserve">updated </w:t>
      </w:r>
      <w:r w:rsidR="0058298C" w:rsidRPr="0058298C">
        <w:rPr>
          <w:rFonts w:ascii="Calibri" w:eastAsia="Calibri" w:hAnsi="Calibri" w:cs="Times New Roman"/>
          <w:sz w:val="24"/>
          <w:szCs w:val="24"/>
        </w:rPr>
        <w:t xml:space="preserve">October </w:t>
      </w:r>
      <w:r w:rsidRPr="0058298C">
        <w:rPr>
          <w:rFonts w:ascii="Calibri" w:eastAsia="Calibri" w:hAnsi="Calibri" w:cs="Times New Roman"/>
          <w:sz w:val="24"/>
          <w:szCs w:val="24"/>
        </w:rPr>
        <w:t xml:space="preserve">2020).  </w:t>
      </w:r>
    </w:p>
    <w:p w14:paraId="0DACAE72" w14:textId="77777777" w:rsidR="0058298C" w:rsidRPr="005B3F67" w:rsidRDefault="0058298C" w:rsidP="005B3F67">
      <w:pPr>
        <w:spacing w:after="0" w:line="240" w:lineRule="auto"/>
        <w:rPr>
          <w:rFonts w:ascii="Calibri" w:eastAsia="Calibri" w:hAnsi="Calibri" w:cs="Times New Roman"/>
          <w:sz w:val="24"/>
          <w:szCs w:val="24"/>
        </w:rPr>
      </w:pPr>
    </w:p>
    <w:tbl>
      <w:tblPr>
        <w:tblStyle w:val="TableGrid1"/>
        <w:tblW w:w="22647" w:type="dxa"/>
        <w:tblLook w:val="06A0" w:firstRow="1" w:lastRow="0" w:firstColumn="1" w:lastColumn="0" w:noHBand="1" w:noVBand="1"/>
      </w:tblPr>
      <w:tblGrid>
        <w:gridCol w:w="4390"/>
        <w:gridCol w:w="18257"/>
      </w:tblGrid>
      <w:tr w:rsidR="005B3F67" w:rsidRPr="005B3F67" w14:paraId="031A9878" w14:textId="77777777" w:rsidTr="0058298C">
        <w:tc>
          <w:tcPr>
            <w:tcW w:w="4390" w:type="dxa"/>
            <w:shd w:val="clear" w:color="auto" w:fill="D5DCE4"/>
          </w:tcPr>
          <w:p w14:paraId="22831C6B" w14:textId="77777777" w:rsidR="005B3F67" w:rsidRPr="005B3F67" w:rsidRDefault="005B3F67" w:rsidP="005B3F67">
            <w:pPr>
              <w:rPr>
                <w:rFonts w:ascii="Calibri" w:eastAsia="Calibri" w:hAnsi="Calibri" w:cs="Times New Roman"/>
                <w:b/>
                <w:sz w:val="24"/>
              </w:rPr>
            </w:pPr>
            <w:r w:rsidRPr="005B3F67">
              <w:rPr>
                <w:rFonts w:ascii="Calibri" w:eastAsia="Calibri" w:hAnsi="Calibri" w:cs="Times New Roman"/>
                <w:b/>
                <w:sz w:val="24"/>
              </w:rPr>
              <w:t>Risk identified</w:t>
            </w:r>
          </w:p>
        </w:tc>
        <w:tc>
          <w:tcPr>
            <w:tcW w:w="18257" w:type="dxa"/>
            <w:shd w:val="clear" w:color="auto" w:fill="D5DCE4"/>
          </w:tcPr>
          <w:p w14:paraId="1AE5F5FD" w14:textId="52CD88FA" w:rsidR="005B3F67" w:rsidRPr="00ED767A" w:rsidRDefault="009A3704" w:rsidP="005B3F67">
            <w:pPr>
              <w:rPr>
                <w:rFonts w:ascii="Calibri" w:eastAsia="Calibri" w:hAnsi="Calibri" w:cs="Times New Roman"/>
                <w:b/>
                <w:color w:val="0070C0"/>
                <w:sz w:val="24"/>
              </w:rPr>
            </w:pPr>
            <w:r w:rsidRPr="0058298C">
              <w:rPr>
                <w:rFonts w:ascii="Calibri" w:eastAsia="Calibri" w:hAnsi="Calibri" w:cs="Times New Roman"/>
                <w:b/>
                <w:sz w:val="24"/>
              </w:rPr>
              <w:t xml:space="preserve">OCO Child Protection Procedure </w:t>
            </w:r>
          </w:p>
        </w:tc>
      </w:tr>
      <w:tr w:rsidR="005B3F67" w:rsidRPr="005B3F67" w14:paraId="1C7974AC" w14:textId="77777777" w:rsidTr="0058298C">
        <w:trPr>
          <w:trHeight w:val="1348"/>
        </w:trPr>
        <w:tc>
          <w:tcPr>
            <w:tcW w:w="4390" w:type="dxa"/>
          </w:tcPr>
          <w:p w14:paraId="2625EAAA" w14:textId="77777777" w:rsidR="00FE78FD" w:rsidRPr="0058298C" w:rsidRDefault="00FE78FD" w:rsidP="00FE78FD">
            <w:pPr>
              <w:ind w:left="31" w:right="284"/>
              <w:rPr>
                <w:b/>
                <w:szCs w:val="24"/>
              </w:rPr>
            </w:pPr>
            <w:r w:rsidRPr="0058298C">
              <w:rPr>
                <w:rFonts w:eastAsia="Calibri" w:cs="Calibri"/>
                <w:b/>
                <w:szCs w:val="24"/>
              </w:rPr>
              <w:t>Ri</w:t>
            </w:r>
            <w:r w:rsidRPr="0058298C">
              <w:rPr>
                <w:rFonts w:eastAsia="Calibri" w:cs="Calibri"/>
                <w:b/>
                <w:spacing w:val="2"/>
                <w:szCs w:val="24"/>
              </w:rPr>
              <w:t>s</w:t>
            </w:r>
            <w:r w:rsidRPr="0058298C">
              <w:rPr>
                <w:rFonts w:eastAsia="Calibri" w:cs="Calibri"/>
                <w:b/>
                <w:szCs w:val="24"/>
              </w:rPr>
              <w:t>k</w:t>
            </w:r>
            <w:r w:rsidRPr="0058298C">
              <w:rPr>
                <w:rFonts w:eastAsia="Calibri" w:cs="Calibri"/>
                <w:b/>
                <w:spacing w:val="-1"/>
                <w:szCs w:val="24"/>
              </w:rPr>
              <w:t xml:space="preserve"> </w:t>
            </w:r>
            <w:r w:rsidRPr="0058298C">
              <w:rPr>
                <w:rFonts w:eastAsia="Calibri" w:cs="Calibri"/>
                <w:b/>
                <w:szCs w:val="24"/>
              </w:rPr>
              <w:t>1</w:t>
            </w:r>
            <w:r w:rsidRPr="0058298C">
              <w:rPr>
                <w:rFonts w:eastAsia="Calibri" w:cs="Calibri"/>
                <w:b/>
                <w:sz w:val="28"/>
                <w:szCs w:val="28"/>
              </w:rPr>
              <w:t>:</w:t>
            </w:r>
            <w:r w:rsidRPr="0058298C">
              <w:rPr>
                <w:rFonts w:eastAsia="Calibri" w:cs="Calibri"/>
                <w:b/>
                <w:spacing w:val="-2"/>
                <w:sz w:val="28"/>
                <w:szCs w:val="28"/>
              </w:rPr>
              <w:t xml:space="preserve"> </w:t>
            </w:r>
            <w:r w:rsidRPr="0058298C">
              <w:rPr>
                <w:b/>
                <w:szCs w:val="24"/>
              </w:rPr>
              <w:t>Children are harmed by adults or peers while attending OCO events/meetings or by staff representing the OCO at external events</w:t>
            </w:r>
          </w:p>
          <w:p w14:paraId="7FCC523E" w14:textId="77777777" w:rsidR="005B3F67" w:rsidRPr="0058298C" w:rsidRDefault="005B3F67" w:rsidP="005B3F67">
            <w:pPr>
              <w:rPr>
                <w:rFonts w:ascii="Calibri" w:eastAsia="Calibri" w:hAnsi="Calibri" w:cs="Times New Roman"/>
                <w:sz w:val="24"/>
              </w:rPr>
            </w:pPr>
          </w:p>
        </w:tc>
        <w:tc>
          <w:tcPr>
            <w:tcW w:w="18257" w:type="dxa"/>
          </w:tcPr>
          <w:p w14:paraId="5C7C0284" w14:textId="26373726" w:rsidR="005B3F67" w:rsidRPr="0058298C" w:rsidRDefault="005B3F67" w:rsidP="00D21FC5">
            <w:pPr>
              <w:rPr>
                <w:rFonts w:ascii="Calibri" w:eastAsia="Calibri" w:hAnsi="Calibri" w:cs="Times New Roman"/>
                <w:sz w:val="24"/>
              </w:rPr>
            </w:pPr>
            <w:r w:rsidRPr="0058298C">
              <w:rPr>
                <w:rFonts w:ascii="Calibri" w:eastAsia="Calibri" w:hAnsi="Calibri" w:cs="Times New Roman"/>
              </w:rPr>
              <w:t xml:space="preserve">Section 1: Responsibility of Staff; Section 2: </w:t>
            </w:r>
            <w:r w:rsidRPr="0058298C">
              <w:rPr>
                <w:rFonts w:ascii="Calibri" w:eastAsia="Calibri" w:hAnsi="Calibri" w:cs="Arial"/>
              </w:rPr>
              <w:t xml:space="preserve">Reporting and decision-making procedures; </w:t>
            </w:r>
            <w:r w:rsidRPr="0058298C">
              <w:rPr>
                <w:rFonts w:ascii="Calibri" w:eastAsia="Calibri" w:hAnsi="Calibri" w:cs="Arial"/>
                <w:bCs/>
              </w:rPr>
              <w:t xml:space="preserve">Section 3: Reporting procedure in relation to allegations of abuse against a member of staff; </w:t>
            </w:r>
            <w:r w:rsidR="009A3704" w:rsidRPr="0058298C">
              <w:rPr>
                <w:rFonts w:ascii="Calibri" w:eastAsia="Calibri" w:hAnsi="Calibri" w:cs="Arial"/>
                <w:bCs/>
              </w:rPr>
              <w:t xml:space="preserve"> </w:t>
            </w:r>
            <w:r w:rsidR="00D21FC5" w:rsidRPr="0058298C">
              <w:rPr>
                <w:rFonts w:ascii="Calibri" w:eastAsia="Calibri" w:hAnsi="Calibri" w:cs="Arial"/>
                <w:bCs/>
              </w:rPr>
              <w:t xml:space="preserve">Section 4: </w:t>
            </w:r>
            <w:r w:rsidR="00D21FC5" w:rsidRPr="0058298C">
              <w:rPr>
                <w:rFonts w:cstheme="minorHAnsi"/>
              </w:rPr>
              <w:t xml:space="preserve">Reporting procedure in relation to allegations of abuse against a third party contractor employed by an external institution; </w:t>
            </w:r>
            <w:r w:rsidR="00D21FC5" w:rsidRPr="0058298C">
              <w:rPr>
                <w:rFonts w:ascii="Calibri" w:eastAsia="Calibri" w:hAnsi="Calibri" w:cs="Arial"/>
              </w:rPr>
              <w:t xml:space="preserve"> Section 5: </w:t>
            </w:r>
            <w:r w:rsidR="00D21FC5" w:rsidRPr="0058298C">
              <w:rPr>
                <w:rFonts w:cstheme="minorHAnsi"/>
              </w:rPr>
              <w:t xml:space="preserve">Confidentiality and the exchange of information; </w:t>
            </w:r>
            <w:r w:rsidR="009A3704" w:rsidRPr="0058298C">
              <w:rPr>
                <w:rFonts w:ascii="Calibri" w:eastAsia="Calibri" w:hAnsi="Calibri" w:cs="Arial"/>
              </w:rPr>
              <w:t xml:space="preserve">Section 6: </w:t>
            </w:r>
            <w:r w:rsidR="009A3704" w:rsidRPr="0058298C">
              <w:rPr>
                <w:rFonts w:cstheme="minorHAnsi"/>
              </w:rPr>
              <w:t>Reasonable grounds for concern</w:t>
            </w:r>
            <w:r w:rsidR="00D21FC5" w:rsidRPr="0058298C">
              <w:rPr>
                <w:rFonts w:cstheme="minorHAnsi"/>
              </w:rPr>
              <w:t xml:space="preserve">; </w:t>
            </w:r>
            <w:r w:rsidRPr="0058298C">
              <w:rPr>
                <w:rFonts w:ascii="Calibri" w:eastAsia="Calibri" w:hAnsi="Calibri" w:cs="Arial"/>
                <w:bCs/>
                <w:sz w:val="24"/>
              </w:rPr>
              <w:t xml:space="preserve">Section </w:t>
            </w:r>
            <w:r w:rsidR="00D21FC5" w:rsidRPr="0058298C">
              <w:rPr>
                <w:rFonts w:ascii="Calibri" w:eastAsia="Calibri" w:hAnsi="Calibri" w:cs="Arial"/>
                <w:bCs/>
                <w:sz w:val="24"/>
              </w:rPr>
              <w:t>8</w:t>
            </w:r>
            <w:r w:rsidRPr="0058298C">
              <w:rPr>
                <w:rFonts w:ascii="Calibri" w:eastAsia="Calibri" w:hAnsi="Calibri" w:cs="Arial"/>
                <w:bCs/>
                <w:sz w:val="24"/>
              </w:rPr>
              <w:t xml:space="preserve">: Role of the Designated Liaison Person (DLP) and Relevant Person; </w:t>
            </w:r>
            <w:r w:rsidR="00EB6F61" w:rsidRPr="0058298C">
              <w:rPr>
                <w:rFonts w:ascii="Calibri" w:eastAsia="Calibri" w:hAnsi="Calibri" w:cs="Arial"/>
                <w:bCs/>
                <w:sz w:val="24"/>
              </w:rPr>
              <w:t xml:space="preserve">Section 7: Legal protections for those reporting child protection concerns; Section 8 Role of the DLP and Relevant person; </w:t>
            </w:r>
            <w:r w:rsidRPr="0058298C">
              <w:rPr>
                <w:rFonts w:ascii="Calibri" w:eastAsia="Calibri" w:hAnsi="Calibri" w:cs="Arial"/>
                <w:bCs/>
                <w:sz w:val="24"/>
              </w:rPr>
              <w:t xml:space="preserve">Section </w:t>
            </w:r>
            <w:r w:rsidR="00D21FC5" w:rsidRPr="0058298C">
              <w:rPr>
                <w:rFonts w:ascii="Calibri" w:eastAsia="Calibri" w:hAnsi="Calibri" w:cs="Arial"/>
                <w:bCs/>
                <w:sz w:val="24"/>
              </w:rPr>
              <w:t>9</w:t>
            </w:r>
            <w:r w:rsidRPr="0058298C">
              <w:rPr>
                <w:rFonts w:ascii="Calibri" w:eastAsia="Calibri" w:hAnsi="Calibri" w:cs="Arial"/>
                <w:bCs/>
                <w:sz w:val="24"/>
              </w:rPr>
              <w:t xml:space="preserve">: </w:t>
            </w:r>
            <w:r w:rsidR="00EB6F61" w:rsidRPr="0058298C">
              <w:rPr>
                <w:rFonts w:ascii="Calibri" w:eastAsia="Calibri" w:hAnsi="Calibri" w:cs="Arial"/>
                <w:bCs/>
                <w:sz w:val="24"/>
              </w:rPr>
              <w:t xml:space="preserve">Receiving allegations of harm from children and young people; Section 10: </w:t>
            </w:r>
            <w:r w:rsidRPr="0058298C">
              <w:rPr>
                <w:rFonts w:ascii="Calibri" w:eastAsia="Calibri" w:hAnsi="Calibri" w:cs="Arial"/>
                <w:bCs/>
                <w:sz w:val="24"/>
              </w:rPr>
              <w:t xml:space="preserve">Safeguarding practices when meeting children and young people; </w:t>
            </w:r>
            <w:r w:rsidR="009A3704" w:rsidRPr="0058298C">
              <w:rPr>
                <w:rFonts w:ascii="Calibri" w:eastAsia="Calibri" w:hAnsi="Calibri" w:cs="Times New Roman"/>
                <w:sz w:val="24"/>
              </w:rPr>
              <w:t>Section 11; Safe recruitment and selection procedures; Section 12: Child protection and welfare training and vetting procedures</w:t>
            </w:r>
          </w:p>
        </w:tc>
      </w:tr>
      <w:tr w:rsidR="005B3F67" w:rsidRPr="005B3F67" w14:paraId="32D11ACF" w14:textId="77777777" w:rsidTr="0058298C">
        <w:trPr>
          <w:trHeight w:val="1454"/>
        </w:trPr>
        <w:tc>
          <w:tcPr>
            <w:tcW w:w="4390" w:type="dxa"/>
          </w:tcPr>
          <w:p w14:paraId="039F7C74" w14:textId="77777777" w:rsidR="00F26A6B" w:rsidRPr="0058298C" w:rsidRDefault="00FE78FD" w:rsidP="00F26A6B">
            <w:pPr>
              <w:ind w:left="32" w:right="284"/>
              <w:contextualSpacing/>
              <w:rPr>
                <w:rFonts w:cstheme="minorHAnsi"/>
                <w:b/>
              </w:rPr>
            </w:pPr>
            <w:r w:rsidRPr="0058298C">
              <w:rPr>
                <w:rFonts w:eastAsia="Calibri" w:cstheme="minorHAnsi"/>
                <w:b/>
              </w:rPr>
              <w:t>Ri</w:t>
            </w:r>
            <w:r w:rsidRPr="0058298C">
              <w:rPr>
                <w:rFonts w:eastAsia="Calibri" w:cstheme="minorHAnsi"/>
                <w:b/>
                <w:spacing w:val="2"/>
              </w:rPr>
              <w:t>s</w:t>
            </w:r>
            <w:r w:rsidRPr="0058298C">
              <w:rPr>
                <w:rFonts w:eastAsia="Calibri" w:cstheme="minorHAnsi"/>
                <w:b/>
              </w:rPr>
              <w:t>k</w:t>
            </w:r>
            <w:r w:rsidRPr="0058298C">
              <w:rPr>
                <w:rFonts w:eastAsia="Calibri" w:cstheme="minorHAnsi"/>
                <w:b/>
                <w:spacing w:val="-1"/>
              </w:rPr>
              <w:t xml:space="preserve"> </w:t>
            </w:r>
            <w:r w:rsidRPr="0058298C">
              <w:rPr>
                <w:rFonts w:eastAsia="Calibri" w:cstheme="minorHAnsi"/>
                <w:b/>
              </w:rPr>
              <w:t>2:</w:t>
            </w:r>
            <w:r w:rsidRPr="0058298C">
              <w:rPr>
                <w:rFonts w:cstheme="minorHAnsi"/>
                <w:b/>
              </w:rPr>
              <w:t xml:space="preserve"> </w:t>
            </w:r>
            <w:r w:rsidR="00F26A6B" w:rsidRPr="0058298C">
              <w:rPr>
                <w:rFonts w:cstheme="minorHAnsi"/>
                <w:b/>
              </w:rPr>
              <w:t>Children are harmed by third parties (adults or peers) while participating in an OCO-commissioned project or  research</w:t>
            </w:r>
          </w:p>
          <w:p w14:paraId="40A8D1F6" w14:textId="77777777" w:rsidR="005B3F67" w:rsidRPr="0058298C" w:rsidRDefault="005B3F67" w:rsidP="005B3F67">
            <w:pPr>
              <w:ind w:right="284"/>
              <w:rPr>
                <w:rFonts w:ascii="Calibri" w:eastAsia="Calibri" w:hAnsi="Calibri" w:cs="Times New Roman"/>
                <w:sz w:val="24"/>
              </w:rPr>
            </w:pPr>
          </w:p>
        </w:tc>
        <w:tc>
          <w:tcPr>
            <w:tcW w:w="18257" w:type="dxa"/>
          </w:tcPr>
          <w:p w14:paraId="278BA1F6" w14:textId="7C143D1D" w:rsidR="005B3F67" w:rsidRPr="0058298C" w:rsidRDefault="005B3F67" w:rsidP="00D21FC5">
            <w:pPr>
              <w:rPr>
                <w:rFonts w:ascii="Calibri" w:eastAsia="Calibri" w:hAnsi="Calibri" w:cs="Arial"/>
                <w:bCs/>
              </w:rPr>
            </w:pPr>
            <w:r w:rsidRPr="0058298C">
              <w:rPr>
                <w:rFonts w:ascii="Calibri" w:eastAsia="Calibri" w:hAnsi="Calibri" w:cs="Times New Roman"/>
              </w:rPr>
              <w:t xml:space="preserve">Section 1: Responsibility of Staff; Section 2: </w:t>
            </w:r>
            <w:r w:rsidRPr="0058298C">
              <w:rPr>
                <w:rFonts w:ascii="Calibri" w:eastAsia="Calibri" w:hAnsi="Calibri" w:cs="Arial"/>
              </w:rPr>
              <w:t xml:space="preserve">Reporting and decision-making procedures; </w:t>
            </w:r>
            <w:r w:rsidRPr="0058298C">
              <w:rPr>
                <w:rFonts w:ascii="Calibri" w:eastAsia="Calibri" w:hAnsi="Calibri" w:cs="Arial"/>
                <w:bCs/>
              </w:rPr>
              <w:t xml:space="preserve">Section 3: Reporting procedure in relation to allegations of abuse against a member of staff; </w:t>
            </w:r>
            <w:r w:rsidR="00D21FC5" w:rsidRPr="0058298C">
              <w:rPr>
                <w:rFonts w:ascii="Calibri" w:eastAsia="Calibri" w:hAnsi="Calibri" w:cs="Arial"/>
                <w:bCs/>
              </w:rPr>
              <w:t xml:space="preserve">Section 4: </w:t>
            </w:r>
            <w:r w:rsidR="00D21FC5" w:rsidRPr="0058298C">
              <w:rPr>
                <w:rFonts w:cstheme="minorHAnsi"/>
              </w:rPr>
              <w:t xml:space="preserve">Reporting procedure in relation to allegations of abuse against a third party contractor employed by an external institution; </w:t>
            </w:r>
            <w:r w:rsidR="00870C28" w:rsidRPr="0058298C">
              <w:rPr>
                <w:rFonts w:ascii="Calibri" w:eastAsia="Calibri" w:hAnsi="Calibri" w:cs="Arial"/>
              </w:rPr>
              <w:t xml:space="preserve">Section 5: </w:t>
            </w:r>
            <w:r w:rsidR="00870C28" w:rsidRPr="0058298C">
              <w:rPr>
                <w:rFonts w:cstheme="minorHAnsi"/>
              </w:rPr>
              <w:t xml:space="preserve">Confidentiality and the exchange of information; </w:t>
            </w:r>
            <w:r w:rsidR="00870C28" w:rsidRPr="0058298C">
              <w:rPr>
                <w:rFonts w:ascii="Calibri" w:eastAsia="Calibri" w:hAnsi="Calibri" w:cs="Arial"/>
              </w:rPr>
              <w:t xml:space="preserve">Section 6: </w:t>
            </w:r>
            <w:r w:rsidR="00870C28" w:rsidRPr="0058298C">
              <w:rPr>
                <w:rFonts w:cstheme="minorHAnsi"/>
              </w:rPr>
              <w:t xml:space="preserve">Reasonable grounds for concern; </w:t>
            </w:r>
            <w:r w:rsidR="00870C28" w:rsidRPr="0058298C">
              <w:rPr>
                <w:rFonts w:ascii="Calibri" w:eastAsia="Calibri" w:hAnsi="Calibri" w:cs="Arial"/>
                <w:bCs/>
                <w:sz w:val="24"/>
              </w:rPr>
              <w:t xml:space="preserve">Section 8: Role of the Designated Liaison Person (DLP) and Relevant Person; Section 7: Legal protections for those reporting child protection concerns; Section 8 Role of the DLP and Relevant person; Section 9: Receiving allegations of harm from children and young people; Section 10: Safeguarding practices when meeting children and young people; </w:t>
            </w:r>
            <w:r w:rsidR="00870C28" w:rsidRPr="0058298C">
              <w:rPr>
                <w:rFonts w:ascii="Calibri" w:eastAsia="Calibri" w:hAnsi="Calibri" w:cs="Times New Roman"/>
                <w:sz w:val="24"/>
              </w:rPr>
              <w:t>Section 11; Safe recruitment and selection procedures; Section 12: Child protection and welfare training and vetting procedures</w:t>
            </w:r>
          </w:p>
        </w:tc>
      </w:tr>
      <w:tr w:rsidR="00870C28" w:rsidRPr="005B3F67" w14:paraId="6AAD73E5" w14:textId="77777777" w:rsidTr="0058298C">
        <w:trPr>
          <w:trHeight w:val="813"/>
        </w:trPr>
        <w:tc>
          <w:tcPr>
            <w:tcW w:w="4390" w:type="dxa"/>
          </w:tcPr>
          <w:p w14:paraId="6E1B6030" w14:textId="2C832722" w:rsidR="00870C28" w:rsidRPr="0058298C" w:rsidRDefault="00870C28" w:rsidP="00870C28">
            <w:pPr>
              <w:ind w:right="284"/>
              <w:rPr>
                <w:b/>
                <w:szCs w:val="24"/>
              </w:rPr>
            </w:pPr>
            <w:r w:rsidRPr="0058298C">
              <w:rPr>
                <w:rFonts w:eastAsia="Calibri" w:cs="Calibri"/>
                <w:b/>
                <w:szCs w:val="24"/>
              </w:rPr>
              <w:t>Ri</w:t>
            </w:r>
            <w:r w:rsidRPr="0058298C">
              <w:rPr>
                <w:rFonts w:eastAsia="Calibri" w:cs="Calibri"/>
                <w:b/>
                <w:spacing w:val="2"/>
                <w:szCs w:val="24"/>
              </w:rPr>
              <w:t>s</w:t>
            </w:r>
            <w:r w:rsidRPr="0058298C">
              <w:rPr>
                <w:rFonts w:eastAsia="Calibri" w:cs="Calibri"/>
                <w:b/>
                <w:szCs w:val="24"/>
              </w:rPr>
              <w:t>k</w:t>
            </w:r>
            <w:r w:rsidRPr="0058298C">
              <w:rPr>
                <w:rFonts w:eastAsia="Calibri" w:cs="Calibri"/>
                <w:b/>
                <w:spacing w:val="-1"/>
                <w:szCs w:val="24"/>
              </w:rPr>
              <w:t xml:space="preserve"> </w:t>
            </w:r>
            <w:r w:rsidRPr="0058298C">
              <w:rPr>
                <w:rFonts w:eastAsia="Calibri" w:cs="Calibri"/>
                <w:b/>
                <w:szCs w:val="24"/>
              </w:rPr>
              <w:t>3:</w:t>
            </w:r>
            <w:r w:rsidRPr="0058298C">
              <w:rPr>
                <w:rFonts w:eastAsia="Calibri" w:cs="Calibri"/>
                <w:b/>
                <w:spacing w:val="-2"/>
                <w:szCs w:val="24"/>
              </w:rPr>
              <w:t xml:space="preserve"> </w:t>
            </w:r>
            <w:r w:rsidRPr="0058298C">
              <w:rPr>
                <w:b/>
                <w:szCs w:val="24"/>
              </w:rPr>
              <w:t>Children are harmed (by adults or peers) during meetings/events held by external organisations in OCO offices</w:t>
            </w:r>
          </w:p>
          <w:p w14:paraId="1AFE32C5" w14:textId="5C84CF8E" w:rsidR="00870C28" w:rsidRPr="0058298C" w:rsidRDefault="00870C28" w:rsidP="00870C28">
            <w:pPr>
              <w:ind w:right="284"/>
              <w:rPr>
                <w:rFonts w:ascii="Calibri" w:eastAsia="Calibri" w:hAnsi="Calibri" w:cs="Times New Roman"/>
                <w:b/>
                <w:sz w:val="24"/>
                <w:szCs w:val="24"/>
              </w:rPr>
            </w:pPr>
          </w:p>
        </w:tc>
        <w:tc>
          <w:tcPr>
            <w:tcW w:w="18257" w:type="dxa"/>
          </w:tcPr>
          <w:p w14:paraId="24EE728E" w14:textId="0489BA65" w:rsidR="00870C28" w:rsidRPr="0058298C" w:rsidRDefault="00870C28" w:rsidP="00870C28">
            <w:pPr>
              <w:ind w:left="34"/>
              <w:rPr>
                <w:rFonts w:ascii="Calibri" w:eastAsia="Calibri" w:hAnsi="Calibri" w:cs="Times New Roman"/>
                <w:sz w:val="24"/>
              </w:rPr>
            </w:pPr>
            <w:r w:rsidRPr="0058298C">
              <w:rPr>
                <w:rFonts w:ascii="Calibri" w:eastAsia="Calibri" w:hAnsi="Calibri" w:cs="Times New Roman"/>
              </w:rPr>
              <w:t xml:space="preserve">Section 1: Responsibility of Staff; Section 2: </w:t>
            </w:r>
            <w:r w:rsidRPr="0058298C">
              <w:rPr>
                <w:rFonts w:ascii="Calibri" w:eastAsia="Calibri" w:hAnsi="Calibri" w:cs="Arial"/>
              </w:rPr>
              <w:t xml:space="preserve">Reporting and decision-making procedures; </w:t>
            </w:r>
            <w:r w:rsidRPr="0058298C">
              <w:rPr>
                <w:rFonts w:ascii="Calibri" w:eastAsia="Calibri" w:hAnsi="Calibri" w:cs="Arial"/>
                <w:bCs/>
              </w:rPr>
              <w:t xml:space="preserve">Section 4: </w:t>
            </w:r>
            <w:r w:rsidRPr="0058298C">
              <w:rPr>
                <w:rFonts w:cstheme="minorHAnsi"/>
              </w:rPr>
              <w:t xml:space="preserve">Reporting procedure in relation to allegations of abuse against a third party contractor employed by an external institution; </w:t>
            </w:r>
            <w:r w:rsidRPr="0058298C">
              <w:rPr>
                <w:rFonts w:ascii="Calibri" w:eastAsia="Calibri" w:hAnsi="Calibri" w:cs="Arial"/>
              </w:rPr>
              <w:t xml:space="preserve"> Section 5: </w:t>
            </w:r>
            <w:r w:rsidRPr="0058298C">
              <w:rPr>
                <w:rFonts w:cstheme="minorHAnsi"/>
              </w:rPr>
              <w:t xml:space="preserve">Confidentiality and the exchange of information; </w:t>
            </w:r>
            <w:r w:rsidRPr="0058298C">
              <w:rPr>
                <w:rFonts w:ascii="Calibri" w:eastAsia="Calibri" w:hAnsi="Calibri" w:cs="Arial"/>
              </w:rPr>
              <w:t xml:space="preserve">Section 6: </w:t>
            </w:r>
            <w:r w:rsidRPr="0058298C">
              <w:rPr>
                <w:rFonts w:cstheme="minorHAnsi"/>
              </w:rPr>
              <w:t xml:space="preserve">Reasonable grounds for concern; </w:t>
            </w:r>
            <w:r w:rsidRPr="0058298C">
              <w:rPr>
                <w:rFonts w:ascii="Calibri" w:eastAsia="Calibri" w:hAnsi="Calibri" w:cs="Arial"/>
                <w:bCs/>
                <w:sz w:val="24"/>
              </w:rPr>
              <w:t xml:space="preserve">Section 8: Role of the Designated Liaison Person (DLP) and Relevant Person; Section 7: Legal protections for those reporting child protection concerns; Section 8 Role of the DLP and Relevant person; Section 9: Receiving allegations of harm from children and young people; Section 10: Safeguarding practices when meeting children and young people; </w:t>
            </w:r>
            <w:r w:rsidRPr="0058298C">
              <w:rPr>
                <w:rFonts w:ascii="Calibri" w:eastAsia="Calibri" w:hAnsi="Calibri" w:cs="Times New Roman"/>
                <w:sz w:val="24"/>
              </w:rPr>
              <w:t>Section 11; Safe recruitment and selection procedures; Section 12: Child protection and welfare training and vetting procedures</w:t>
            </w:r>
          </w:p>
        </w:tc>
      </w:tr>
      <w:tr w:rsidR="00870C28" w:rsidRPr="005B3F67" w14:paraId="7BBABD0F" w14:textId="77777777" w:rsidTr="0058298C">
        <w:trPr>
          <w:trHeight w:val="869"/>
        </w:trPr>
        <w:tc>
          <w:tcPr>
            <w:tcW w:w="4390" w:type="dxa"/>
          </w:tcPr>
          <w:p w14:paraId="1B440EE1" w14:textId="207D3BA0" w:rsidR="00870C28" w:rsidRPr="0058298C" w:rsidRDefault="00870C28" w:rsidP="0058298C">
            <w:pPr>
              <w:ind w:left="31" w:right="284"/>
              <w:rPr>
                <w:b/>
                <w:szCs w:val="24"/>
              </w:rPr>
            </w:pPr>
            <w:r w:rsidRPr="0058298C">
              <w:rPr>
                <w:rFonts w:eastAsia="Calibri" w:cs="Calibri"/>
                <w:b/>
                <w:szCs w:val="24"/>
              </w:rPr>
              <w:t>Ri</w:t>
            </w:r>
            <w:r w:rsidRPr="0058298C">
              <w:rPr>
                <w:rFonts w:eastAsia="Calibri" w:cs="Calibri"/>
                <w:b/>
                <w:spacing w:val="2"/>
                <w:szCs w:val="24"/>
              </w:rPr>
              <w:t>s</w:t>
            </w:r>
            <w:r w:rsidRPr="0058298C">
              <w:rPr>
                <w:rFonts w:eastAsia="Calibri" w:cs="Calibri"/>
                <w:b/>
                <w:szCs w:val="24"/>
              </w:rPr>
              <w:t>k</w:t>
            </w:r>
            <w:r w:rsidRPr="0058298C">
              <w:rPr>
                <w:rFonts w:eastAsia="Calibri" w:cs="Calibri"/>
                <w:b/>
                <w:spacing w:val="-1"/>
                <w:szCs w:val="24"/>
              </w:rPr>
              <w:t xml:space="preserve"> 4</w:t>
            </w:r>
            <w:r w:rsidRPr="0058298C">
              <w:rPr>
                <w:rFonts w:eastAsia="Calibri" w:cs="Calibri"/>
                <w:b/>
                <w:szCs w:val="24"/>
              </w:rPr>
              <w:t>:</w:t>
            </w:r>
            <w:r w:rsidRPr="0058298C">
              <w:rPr>
                <w:rFonts w:eastAsia="Calibri" w:cs="Calibri"/>
                <w:b/>
                <w:spacing w:val="-2"/>
                <w:szCs w:val="24"/>
              </w:rPr>
              <w:t xml:space="preserve"> </w:t>
            </w:r>
            <w:r w:rsidRPr="0058298C">
              <w:rPr>
                <w:b/>
                <w:szCs w:val="24"/>
              </w:rPr>
              <w:t>OCO staff do not recognize a report of potential abuse, ill treatment or neglect</w:t>
            </w:r>
          </w:p>
        </w:tc>
        <w:tc>
          <w:tcPr>
            <w:tcW w:w="18257" w:type="dxa"/>
          </w:tcPr>
          <w:p w14:paraId="1CFB9CCA" w14:textId="3F7E094B" w:rsidR="00870C28" w:rsidRPr="0058298C" w:rsidRDefault="00870C28" w:rsidP="00870C28">
            <w:pPr>
              <w:ind w:left="34"/>
              <w:rPr>
                <w:rFonts w:ascii="Calibri" w:eastAsia="Calibri" w:hAnsi="Calibri" w:cs="Arial"/>
                <w:bCs/>
                <w:sz w:val="24"/>
              </w:rPr>
            </w:pPr>
            <w:r w:rsidRPr="0058298C">
              <w:rPr>
                <w:rFonts w:ascii="Calibri" w:eastAsia="Calibri" w:hAnsi="Calibri" w:cs="Times New Roman"/>
                <w:sz w:val="24"/>
              </w:rPr>
              <w:t xml:space="preserve">Section 6: Reasonable grounds for concern; Section 11: Safe recruitment and selection; Section 12: Child Protection training and vetting procedures </w:t>
            </w:r>
          </w:p>
        </w:tc>
      </w:tr>
      <w:tr w:rsidR="00870C28" w:rsidRPr="005B3F67" w14:paraId="4EBE3B92" w14:textId="77777777" w:rsidTr="0058298C">
        <w:trPr>
          <w:trHeight w:val="869"/>
        </w:trPr>
        <w:tc>
          <w:tcPr>
            <w:tcW w:w="4390" w:type="dxa"/>
          </w:tcPr>
          <w:p w14:paraId="082EE1E2" w14:textId="7F6519AD" w:rsidR="00870C28" w:rsidRPr="0058298C" w:rsidRDefault="00870C28" w:rsidP="0058298C">
            <w:pPr>
              <w:ind w:left="31" w:right="284"/>
              <w:rPr>
                <w:b/>
                <w:szCs w:val="24"/>
              </w:rPr>
            </w:pPr>
            <w:r w:rsidRPr="0058298C">
              <w:rPr>
                <w:rFonts w:eastAsia="Calibri" w:cs="Calibri"/>
                <w:b/>
                <w:szCs w:val="24"/>
              </w:rPr>
              <w:t>Ri</w:t>
            </w:r>
            <w:r w:rsidRPr="0058298C">
              <w:rPr>
                <w:rFonts w:eastAsia="Calibri" w:cs="Calibri"/>
                <w:b/>
                <w:spacing w:val="2"/>
                <w:szCs w:val="24"/>
              </w:rPr>
              <w:t>s</w:t>
            </w:r>
            <w:r w:rsidRPr="0058298C">
              <w:rPr>
                <w:rFonts w:eastAsia="Calibri" w:cs="Calibri"/>
                <w:b/>
                <w:szCs w:val="24"/>
              </w:rPr>
              <w:t>k</w:t>
            </w:r>
            <w:r w:rsidRPr="0058298C">
              <w:rPr>
                <w:rFonts w:eastAsia="Calibri" w:cs="Calibri"/>
                <w:b/>
                <w:spacing w:val="-1"/>
                <w:szCs w:val="24"/>
              </w:rPr>
              <w:t xml:space="preserve"> 5</w:t>
            </w:r>
            <w:r w:rsidRPr="0058298C">
              <w:rPr>
                <w:rFonts w:eastAsia="Calibri" w:cs="Calibri"/>
                <w:b/>
                <w:szCs w:val="24"/>
              </w:rPr>
              <w:t>:</w:t>
            </w:r>
            <w:r w:rsidRPr="0058298C">
              <w:rPr>
                <w:rFonts w:eastAsia="Calibri" w:cs="Calibri"/>
                <w:b/>
                <w:spacing w:val="-2"/>
                <w:szCs w:val="24"/>
              </w:rPr>
              <w:t xml:space="preserve"> </w:t>
            </w:r>
            <w:r w:rsidRPr="0058298C">
              <w:rPr>
                <w:b/>
                <w:szCs w:val="24"/>
              </w:rPr>
              <w:t>OCO staff do not follow the necessary policy and procedures required in the case of alleged abuse</w:t>
            </w:r>
          </w:p>
        </w:tc>
        <w:tc>
          <w:tcPr>
            <w:tcW w:w="18257" w:type="dxa"/>
          </w:tcPr>
          <w:p w14:paraId="099C5D91" w14:textId="1570DEBB" w:rsidR="00870C28" w:rsidRPr="0058298C" w:rsidRDefault="00870C28" w:rsidP="00870C28">
            <w:pPr>
              <w:ind w:left="34"/>
              <w:rPr>
                <w:rFonts w:ascii="Calibri" w:eastAsia="Calibri" w:hAnsi="Calibri" w:cs="Times New Roman"/>
                <w:bCs/>
                <w:sz w:val="24"/>
              </w:rPr>
            </w:pPr>
            <w:r w:rsidRPr="0058298C">
              <w:rPr>
                <w:rFonts w:ascii="Calibri" w:eastAsia="Calibri" w:hAnsi="Calibri" w:cs="Times New Roman"/>
                <w:bCs/>
                <w:sz w:val="24"/>
              </w:rPr>
              <w:t xml:space="preserve">Section 1: Responsibility of staff; Section 2: </w:t>
            </w:r>
            <w:r w:rsidRPr="0058298C">
              <w:rPr>
                <w:rFonts w:ascii="Calibri" w:eastAsia="Calibri" w:hAnsi="Calibri" w:cs="Arial"/>
                <w:sz w:val="24"/>
              </w:rPr>
              <w:t xml:space="preserve">Reporting and decision-making procedures; </w:t>
            </w:r>
            <w:r w:rsidRPr="0058298C">
              <w:rPr>
                <w:rFonts w:ascii="Calibri" w:eastAsia="Calibri" w:hAnsi="Calibri" w:cs="Arial"/>
                <w:bCs/>
                <w:sz w:val="24"/>
              </w:rPr>
              <w:t>Section 3: Reporting procedure in relation to allegations of abuse against a member of staff; Section 12: Child protection and welfare training and vetting procedures</w:t>
            </w:r>
          </w:p>
        </w:tc>
      </w:tr>
    </w:tbl>
    <w:p w14:paraId="2666A5FE" w14:textId="77777777" w:rsidR="00870C28" w:rsidRDefault="00870C28" w:rsidP="005B3F67">
      <w:pPr>
        <w:keepNext/>
        <w:keepLines/>
        <w:spacing w:after="0" w:line="240" w:lineRule="auto"/>
        <w:outlineLvl w:val="0"/>
        <w:rPr>
          <w:rFonts w:ascii="Calibri" w:eastAsia="Times New Roman" w:hAnsi="Calibri" w:cs="Times New Roman"/>
          <w:b/>
          <w:bCs/>
          <w:color w:val="2E74B5"/>
          <w:sz w:val="28"/>
          <w:szCs w:val="28"/>
        </w:rPr>
      </w:pPr>
    </w:p>
    <w:p w14:paraId="45F3D3D2" w14:textId="323495E1" w:rsidR="005B3F67" w:rsidRPr="005B3F67" w:rsidRDefault="005B3F67" w:rsidP="005B3F67">
      <w:pPr>
        <w:keepNext/>
        <w:keepLines/>
        <w:spacing w:after="0" w:line="240" w:lineRule="auto"/>
        <w:outlineLvl w:val="0"/>
        <w:rPr>
          <w:rFonts w:ascii="Calibri" w:eastAsia="Times New Roman" w:hAnsi="Calibri" w:cs="Times New Roman"/>
          <w:b/>
          <w:bCs/>
          <w:color w:val="2E74B5"/>
          <w:sz w:val="28"/>
          <w:szCs w:val="28"/>
        </w:rPr>
      </w:pPr>
      <w:r w:rsidRPr="005B3F67">
        <w:rPr>
          <w:rFonts w:ascii="Calibri" w:eastAsia="Times New Roman" w:hAnsi="Calibri" w:cs="Times New Roman"/>
          <w:b/>
          <w:bCs/>
          <w:color w:val="2E74B5"/>
          <w:sz w:val="28"/>
          <w:szCs w:val="28"/>
        </w:rPr>
        <w:t>Procedures</w:t>
      </w:r>
    </w:p>
    <w:p w14:paraId="3612045E" w14:textId="5E7B107E" w:rsidR="005B3F67" w:rsidRPr="005B3F67" w:rsidRDefault="005B3F67" w:rsidP="0058298C">
      <w:pPr>
        <w:spacing w:after="0" w:line="240" w:lineRule="auto"/>
        <w:contextualSpacing/>
        <w:rPr>
          <w:rFonts w:ascii="Calibri" w:eastAsia="Calibri" w:hAnsi="Calibri" w:cs="Times New Roman"/>
          <w:sz w:val="24"/>
          <w:szCs w:val="24"/>
        </w:rPr>
      </w:pPr>
      <w:r w:rsidRPr="005B3F67">
        <w:rPr>
          <w:rFonts w:ascii="Calibri" w:eastAsia="Calibri" w:hAnsi="Calibri" w:cs="Times New Roman"/>
          <w:sz w:val="24"/>
          <w:szCs w:val="24"/>
        </w:rPr>
        <w:t>Further information on our Child Protection Policy and Child Protection Procedures 20</w:t>
      </w:r>
      <w:r w:rsidR="00870C28">
        <w:rPr>
          <w:rFonts w:ascii="Calibri" w:eastAsia="Calibri" w:hAnsi="Calibri" w:cs="Times New Roman"/>
          <w:sz w:val="24"/>
          <w:szCs w:val="24"/>
        </w:rPr>
        <w:t>20</w:t>
      </w:r>
      <w:r w:rsidRPr="005B3F67">
        <w:rPr>
          <w:rFonts w:ascii="Calibri" w:eastAsia="Calibri" w:hAnsi="Calibri" w:cs="Times New Roman"/>
          <w:sz w:val="24"/>
          <w:szCs w:val="24"/>
        </w:rPr>
        <w:t xml:space="preserve"> is available on request or on our website at </w:t>
      </w:r>
      <w:hyperlink r:id="rId8" w:history="1">
        <w:r w:rsidRPr="005B3F67">
          <w:rPr>
            <w:rFonts w:ascii="Calibri" w:eastAsia="Calibri" w:hAnsi="Calibri" w:cs="Times New Roman"/>
            <w:color w:val="0563C1"/>
            <w:sz w:val="24"/>
            <w:szCs w:val="24"/>
            <w:u w:val="single"/>
          </w:rPr>
          <w:t>www.oco.ie</w:t>
        </w:r>
      </w:hyperlink>
      <w:r w:rsidRPr="005B3F67">
        <w:rPr>
          <w:rFonts w:ascii="Calibri" w:eastAsia="Calibri" w:hAnsi="Calibri" w:cs="Times New Roman"/>
          <w:sz w:val="24"/>
          <w:szCs w:val="24"/>
        </w:rPr>
        <w:t xml:space="preserve">. </w:t>
      </w:r>
    </w:p>
    <w:p w14:paraId="1E6984A2" w14:textId="77777777" w:rsidR="0058298C" w:rsidRDefault="0058298C" w:rsidP="005B3F67">
      <w:pPr>
        <w:keepNext/>
        <w:keepLines/>
        <w:spacing w:after="0" w:line="240" w:lineRule="auto"/>
        <w:outlineLvl w:val="0"/>
        <w:rPr>
          <w:rFonts w:ascii="Calibri" w:eastAsia="Times New Roman" w:hAnsi="Calibri" w:cs="Times New Roman"/>
          <w:b/>
          <w:bCs/>
          <w:color w:val="2E74B5"/>
          <w:sz w:val="28"/>
          <w:szCs w:val="28"/>
        </w:rPr>
      </w:pPr>
    </w:p>
    <w:p w14:paraId="6C3E6542" w14:textId="155CA66E" w:rsidR="005B3F67" w:rsidRPr="005B3F67" w:rsidRDefault="005B3F67" w:rsidP="005B3F67">
      <w:pPr>
        <w:keepNext/>
        <w:keepLines/>
        <w:spacing w:after="0" w:line="240" w:lineRule="auto"/>
        <w:outlineLvl w:val="0"/>
        <w:rPr>
          <w:rFonts w:ascii="Calibri" w:eastAsia="Times New Roman" w:hAnsi="Calibri" w:cs="Times New Roman"/>
          <w:b/>
          <w:bCs/>
          <w:color w:val="2E74B5"/>
          <w:sz w:val="28"/>
          <w:szCs w:val="28"/>
        </w:rPr>
      </w:pPr>
      <w:r w:rsidRPr="005B3F67">
        <w:rPr>
          <w:rFonts w:ascii="Calibri" w:eastAsia="Times New Roman" w:hAnsi="Calibri" w:cs="Times New Roman"/>
          <w:b/>
          <w:bCs/>
          <w:color w:val="2E74B5"/>
          <w:sz w:val="28"/>
          <w:szCs w:val="28"/>
        </w:rPr>
        <w:t>Implementation</w:t>
      </w:r>
    </w:p>
    <w:p w14:paraId="30BF9062" w14:textId="77777777" w:rsidR="005B3F67" w:rsidRPr="005B3F67" w:rsidRDefault="005B3F67" w:rsidP="005B3F67">
      <w:pPr>
        <w:spacing w:after="0" w:line="240" w:lineRule="auto"/>
        <w:rPr>
          <w:rFonts w:ascii="Calibri" w:eastAsia="Calibri" w:hAnsi="Calibri" w:cs="Times New Roman"/>
          <w:sz w:val="24"/>
          <w:szCs w:val="24"/>
        </w:rPr>
      </w:pPr>
      <w:r w:rsidRPr="005B3F67">
        <w:rPr>
          <w:rFonts w:ascii="Calibri" w:eastAsia="Calibri" w:hAnsi="Calibri" w:cs="Times New Roman"/>
          <w:sz w:val="24"/>
          <w:szCs w:val="24"/>
        </w:rPr>
        <w:t xml:space="preserve">We are committed to implementing this child safeguarding statement in line with reflective and best practice.  We will review our safeguarding statement in January 2022 or following any changes to relevant policy/procedure. </w:t>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p>
    <w:p w14:paraId="4012DFBC" w14:textId="77777777" w:rsidR="005B3F67" w:rsidRPr="005B3F67" w:rsidRDefault="005B3F67" w:rsidP="005B3F67">
      <w:pPr>
        <w:spacing w:after="0" w:line="240" w:lineRule="auto"/>
        <w:rPr>
          <w:rFonts w:ascii="Calibri" w:eastAsia="Calibri" w:hAnsi="Calibri" w:cs="Times New Roman"/>
          <w:b/>
          <w:sz w:val="24"/>
          <w:szCs w:val="24"/>
        </w:rPr>
      </w:pPr>
      <w:r w:rsidRPr="005B3F67">
        <w:rPr>
          <w:rFonts w:ascii="Calibri" w:eastAsia="Calibri" w:hAnsi="Calibri" w:cs="Times New Roman"/>
          <w:sz w:val="24"/>
          <w:szCs w:val="24"/>
        </w:rPr>
        <w:t>Signed:  ______________________________</w:t>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t>Date:  ____________</w:t>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sz w:val="24"/>
          <w:szCs w:val="24"/>
        </w:rPr>
        <w:tab/>
      </w:r>
      <w:r w:rsidRPr="005B3F67">
        <w:rPr>
          <w:rFonts w:ascii="Calibri" w:eastAsia="Calibri" w:hAnsi="Calibri" w:cs="Times New Roman"/>
          <w:b/>
          <w:sz w:val="24"/>
          <w:szCs w:val="24"/>
        </w:rPr>
        <w:t xml:space="preserve">If you have any queries please contact our DLPs at 01-8656800 or </w:t>
      </w:r>
      <w:hyperlink r:id="rId9" w:history="1">
        <w:r w:rsidRPr="005B3F67">
          <w:rPr>
            <w:rFonts w:ascii="Calibri" w:eastAsia="Calibri" w:hAnsi="Calibri" w:cs="Times New Roman"/>
            <w:b/>
            <w:color w:val="0563C1"/>
            <w:sz w:val="24"/>
            <w:szCs w:val="24"/>
            <w:u w:val="single"/>
          </w:rPr>
          <w:t>www.oco.ie</w:t>
        </w:r>
      </w:hyperlink>
      <w:r w:rsidRPr="005B3F67">
        <w:rPr>
          <w:rFonts w:ascii="Calibri" w:eastAsia="Calibri" w:hAnsi="Calibri" w:cs="Times New Roman"/>
          <w:b/>
          <w:sz w:val="24"/>
          <w:szCs w:val="24"/>
        </w:rPr>
        <w:t xml:space="preserve"> </w:t>
      </w:r>
    </w:p>
    <w:p w14:paraId="2F1E0ADC" w14:textId="77777777" w:rsidR="005B3F67" w:rsidRPr="005B3F67" w:rsidRDefault="005B3F67" w:rsidP="005B3F67">
      <w:pPr>
        <w:spacing w:after="0" w:line="240" w:lineRule="auto"/>
        <w:rPr>
          <w:rFonts w:ascii="Calibri" w:eastAsia="Calibri" w:hAnsi="Calibri" w:cs="Times New Roman"/>
          <w:sz w:val="24"/>
          <w:szCs w:val="24"/>
        </w:rPr>
      </w:pPr>
      <w:r w:rsidRPr="005B3F67">
        <w:rPr>
          <w:rFonts w:ascii="Calibri" w:eastAsia="Calibri" w:hAnsi="Calibri" w:cs="Times New Roman"/>
          <w:sz w:val="24"/>
          <w:szCs w:val="24"/>
        </w:rPr>
        <w:t>Relevant Person, Ombudsman for Children’s Office</w:t>
      </w:r>
    </w:p>
    <w:sectPr w:rsidR="005B3F67" w:rsidRPr="005B3F67" w:rsidSect="000D497B">
      <w:footerReference w:type="default" r:id="rId10"/>
      <w:pgSz w:w="23814" w:h="16840"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C341F" w14:textId="77777777" w:rsidR="003C08E9" w:rsidRDefault="003C08E9" w:rsidP="005B3F67">
      <w:pPr>
        <w:spacing w:after="0" w:line="240" w:lineRule="auto"/>
      </w:pPr>
      <w:r>
        <w:separator/>
      </w:r>
    </w:p>
  </w:endnote>
  <w:endnote w:type="continuationSeparator" w:id="0">
    <w:p w14:paraId="1F98931B" w14:textId="77777777" w:rsidR="003C08E9" w:rsidRDefault="003C08E9" w:rsidP="005B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32C2" w14:textId="77777777" w:rsidR="00C76070" w:rsidRDefault="00457D6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760B1" w14:textId="77777777" w:rsidR="003C08E9" w:rsidRDefault="003C08E9" w:rsidP="005B3F67">
      <w:pPr>
        <w:spacing w:after="0" w:line="240" w:lineRule="auto"/>
      </w:pPr>
      <w:r>
        <w:separator/>
      </w:r>
    </w:p>
  </w:footnote>
  <w:footnote w:type="continuationSeparator" w:id="0">
    <w:p w14:paraId="5980BD46" w14:textId="77777777" w:rsidR="003C08E9" w:rsidRDefault="003C08E9" w:rsidP="005B3F67">
      <w:pPr>
        <w:spacing w:after="0" w:line="240" w:lineRule="auto"/>
      </w:pPr>
      <w:r>
        <w:continuationSeparator/>
      </w:r>
    </w:p>
  </w:footnote>
  <w:footnote w:id="1">
    <w:p w14:paraId="309AF5F3" w14:textId="77777777" w:rsidR="005B3F67" w:rsidRDefault="005B3F67" w:rsidP="005B3F67">
      <w:pPr>
        <w:pStyle w:val="FootnoteText1"/>
      </w:pPr>
      <w:r>
        <w:rPr>
          <w:rStyle w:val="FootnoteReference"/>
        </w:rPr>
        <w:footnoteRef/>
      </w:r>
      <w:r>
        <w:t xml:space="preserve"> </w:t>
      </w:r>
      <w:hyperlink r:id="rId1" w:history="1">
        <w:r w:rsidRPr="00CD1D8B">
          <w:rPr>
            <w:rStyle w:val="Hyperlink1"/>
          </w:rPr>
          <w:t>https://www.dcya.gov.ie/documents/publications/20171002ChildrenFirst2017.pdf</w:t>
        </w:r>
      </w:hyperlink>
      <w:r>
        <w:tab/>
      </w:r>
      <w:r>
        <w:tab/>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E724D"/>
    <w:multiLevelType w:val="hybridMultilevel"/>
    <w:tmpl w:val="BDFE45CE"/>
    <w:lvl w:ilvl="0" w:tplc="78F4AFFE">
      <w:start w:val="4"/>
      <w:numFmt w:val="decimal"/>
      <w:lvlText w:val="%1."/>
      <w:lvlJc w:val="left"/>
      <w:pPr>
        <w:ind w:left="720" w:hanging="360"/>
      </w:pPr>
      <w:rPr>
        <w:rFonts w:asciiTheme="minorHAnsi" w:hAnsiTheme="minorHAns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6872568"/>
    <w:multiLevelType w:val="hybridMultilevel"/>
    <w:tmpl w:val="9AE0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785063"/>
    <w:multiLevelType w:val="hybridMultilevel"/>
    <w:tmpl w:val="42006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7E5DA3"/>
    <w:multiLevelType w:val="hybridMultilevel"/>
    <w:tmpl w:val="04AEC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024027"/>
    <w:multiLevelType w:val="hybridMultilevel"/>
    <w:tmpl w:val="A6885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6642296"/>
    <w:multiLevelType w:val="hybridMultilevel"/>
    <w:tmpl w:val="29680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67"/>
    <w:rsid w:val="000F4E38"/>
    <w:rsid w:val="00346790"/>
    <w:rsid w:val="0039550A"/>
    <w:rsid w:val="003C08E9"/>
    <w:rsid w:val="00457D67"/>
    <w:rsid w:val="0058298C"/>
    <w:rsid w:val="005B3F67"/>
    <w:rsid w:val="007D4698"/>
    <w:rsid w:val="00870C28"/>
    <w:rsid w:val="00880E06"/>
    <w:rsid w:val="009A3704"/>
    <w:rsid w:val="00B943AB"/>
    <w:rsid w:val="00D21FC5"/>
    <w:rsid w:val="00EB6F61"/>
    <w:rsid w:val="00ED767A"/>
    <w:rsid w:val="00F26A6B"/>
    <w:rsid w:val="00FE78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1C7"/>
  <w15:chartTrackingRefBased/>
  <w15:docId w15:val="{04088BB2-C643-4D89-9965-545559C7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5B3F67"/>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B3F67"/>
    <w:rPr>
      <w:sz w:val="20"/>
      <w:szCs w:val="20"/>
    </w:rPr>
  </w:style>
  <w:style w:type="character" w:styleId="FootnoteReference">
    <w:name w:val="footnote reference"/>
    <w:basedOn w:val="DefaultParagraphFont"/>
    <w:uiPriority w:val="99"/>
    <w:semiHidden/>
    <w:unhideWhenUsed/>
    <w:rsid w:val="005B3F67"/>
    <w:rPr>
      <w:vertAlign w:val="superscript"/>
    </w:rPr>
  </w:style>
  <w:style w:type="paragraph" w:customStyle="1" w:styleId="Footer1">
    <w:name w:val="Footer1"/>
    <w:basedOn w:val="Normal"/>
    <w:next w:val="Footer"/>
    <w:link w:val="FooterChar"/>
    <w:uiPriority w:val="99"/>
    <w:unhideWhenUsed/>
    <w:rsid w:val="005B3F67"/>
    <w:pPr>
      <w:tabs>
        <w:tab w:val="center" w:pos="4513"/>
        <w:tab w:val="right" w:pos="9026"/>
      </w:tabs>
      <w:spacing w:after="0" w:line="240" w:lineRule="auto"/>
    </w:pPr>
    <w:rPr>
      <w:sz w:val="24"/>
    </w:rPr>
  </w:style>
  <w:style w:type="character" w:customStyle="1" w:styleId="FooterChar">
    <w:name w:val="Footer Char"/>
    <w:basedOn w:val="DefaultParagraphFont"/>
    <w:link w:val="Footer1"/>
    <w:uiPriority w:val="99"/>
    <w:rsid w:val="005B3F67"/>
    <w:rPr>
      <w:sz w:val="24"/>
    </w:rPr>
  </w:style>
  <w:style w:type="table" w:customStyle="1" w:styleId="TableGrid1">
    <w:name w:val="Table Grid1"/>
    <w:basedOn w:val="TableNormal"/>
    <w:next w:val="TableGrid"/>
    <w:uiPriority w:val="59"/>
    <w:rsid w:val="005B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5B3F67"/>
    <w:rPr>
      <w:color w:val="0563C1"/>
      <w:u w:val="single"/>
    </w:rPr>
  </w:style>
  <w:style w:type="paragraph" w:styleId="FootnoteText">
    <w:name w:val="footnote text"/>
    <w:basedOn w:val="Normal"/>
    <w:link w:val="FootnoteTextChar1"/>
    <w:uiPriority w:val="99"/>
    <w:semiHidden/>
    <w:unhideWhenUsed/>
    <w:rsid w:val="005B3F6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B3F67"/>
    <w:rPr>
      <w:sz w:val="20"/>
      <w:szCs w:val="20"/>
    </w:rPr>
  </w:style>
  <w:style w:type="paragraph" w:styleId="Footer">
    <w:name w:val="footer"/>
    <w:basedOn w:val="Normal"/>
    <w:link w:val="FooterChar1"/>
    <w:uiPriority w:val="99"/>
    <w:semiHidden/>
    <w:unhideWhenUsed/>
    <w:rsid w:val="005B3F67"/>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B3F67"/>
  </w:style>
  <w:style w:type="table" w:styleId="TableGrid">
    <w:name w:val="Table Grid"/>
    <w:basedOn w:val="TableNormal"/>
    <w:uiPriority w:val="39"/>
    <w:rsid w:val="005B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B3F67"/>
    <w:rPr>
      <w:color w:val="0563C1" w:themeColor="hyperlink"/>
      <w:u w:val="single"/>
    </w:rPr>
  </w:style>
  <w:style w:type="character" w:styleId="CommentReference">
    <w:name w:val="annotation reference"/>
    <w:basedOn w:val="DefaultParagraphFont"/>
    <w:uiPriority w:val="99"/>
    <w:semiHidden/>
    <w:unhideWhenUsed/>
    <w:rsid w:val="00FE78FD"/>
    <w:rPr>
      <w:sz w:val="16"/>
      <w:szCs w:val="16"/>
    </w:rPr>
  </w:style>
  <w:style w:type="paragraph" w:styleId="CommentText">
    <w:name w:val="annotation text"/>
    <w:basedOn w:val="Normal"/>
    <w:link w:val="CommentTextChar"/>
    <w:uiPriority w:val="99"/>
    <w:semiHidden/>
    <w:unhideWhenUsed/>
    <w:rsid w:val="00FE78FD"/>
    <w:pPr>
      <w:spacing w:line="240" w:lineRule="auto"/>
    </w:pPr>
    <w:rPr>
      <w:sz w:val="20"/>
      <w:szCs w:val="20"/>
    </w:rPr>
  </w:style>
  <w:style w:type="character" w:customStyle="1" w:styleId="CommentTextChar">
    <w:name w:val="Comment Text Char"/>
    <w:basedOn w:val="DefaultParagraphFont"/>
    <w:link w:val="CommentText"/>
    <w:uiPriority w:val="99"/>
    <w:semiHidden/>
    <w:rsid w:val="00FE78FD"/>
    <w:rPr>
      <w:sz w:val="20"/>
      <w:szCs w:val="20"/>
    </w:rPr>
  </w:style>
  <w:style w:type="paragraph" w:styleId="CommentSubject">
    <w:name w:val="annotation subject"/>
    <w:basedOn w:val="CommentText"/>
    <w:next w:val="CommentText"/>
    <w:link w:val="CommentSubjectChar"/>
    <w:uiPriority w:val="99"/>
    <w:semiHidden/>
    <w:unhideWhenUsed/>
    <w:rsid w:val="00FE78FD"/>
    <w:rPr>
      <w:b/>
      <w:bCs/>
    </w:rPr>
  </w:style>
  <w:style w:type="character" w:customStyle="1" w:styleId="CommentSubjectChar">
    <w:name w:val="Comment Subject Char"/>
    <w:basedOn w:val="CommentTextChar"/>
    <w:link w:val="CommentSubject"/>
    <w:uiPriority w:val="99"/>
    <w:semiHidden/>
    <w:rsid w:val="00FE78FD"/>
    <w:rPr>
      <w:b/>
      <w:bCs/>
      <w:sz w:val="20"/>
      <w:szCs w:val="20"/>
    </w:rPr>
  </w:style>
  <w:style w:type="paragraph" w:styleId="BalloonText">
    <w:name w:val="Balloon Text"/>
    <w:basedOn w:val="Normal"/>
    <w:link w:val="BalloonTextChar"/>
    <w:uiPriority w:val="99"/>
    <w:semiHidden/>
    <w:unhideWhenUsed/>
    <w:rsid w:val="00FE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8FD"/>
    <w:rPr>
      <w:rFonts w:ascii="Segoe UI" w:hAnsi="Segoe UI" w:cs="Segoe UI"/>
      <w:sz w:val="18"/>
      <w:szCs w:val="18"/>
    </w:rPr>
  </w:style>
  <w:style w:type="paragraph" w:styleId="ListParagraph">
    <w:name w:val="List Paragraph"/>
    <w:basedOn w:val="Normal"/>
    <w:uiPriority w:val="34"/>
    <w:qFormat/>
    <w:rsid w:val="009A370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o.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c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ya.gov.ie/documents/publications/20171002ChildrenFirst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dc:creator>
  <cp:keywords/>
  <dc:description/>
  <cp:lastModifiedBy>Carmel Corrigan</cp:lastModifiedBy>
  <cp:revision>4</cp:revision>
  <dcterms:created xsi:type="dcterms:W3CDTF">2020-10-21T09:29:00Z</dcterms:created>
  <dcterms:modified xsi:type="dcterms:W3CDTF">2020-11-18T21:23:00Z</dcterms:modified>
</cp:coreProperties>
</file>